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6A95" w14:textId="77777777" w:rsidR="00BD31CD" w:rsidRDefault="00BD31CD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7AF8B25" w14:textId="5C76C689" w:rsidR="00BD31CD" w:rsidRDefault="00BD31CD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A4D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B9AF1E8" wp14:editId="423F1218">
            <wp:extent cx="1004552" cy="6697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14" cy="6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52F2" w14:textId="77777777" w:rsidR="00BD31CD" w:rsidRDefault="00BD31CD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0D6E725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F6E58AC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3D1129" w14:textId="4370F194" w:rsidR="00FD71DE" w:rsidRDefault="00FD71DE" w:rsidP="00FD71DE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D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 xml:space="preserve">ПРОГРАМ ИСТРАЖИВАЊА И ЗАШТИТЕ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Cyrl-RS"/>
        </w:rPr>
        <w:t>РЕТКИХ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Cyrl-RS"/>
        </w:rPr>
        <w:t>РЕЧНИХ</w:t>
      </w:r>
      <w:r w:rsidRPr="00FD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 xml:space="preserve"> ВРСТ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Cyrl-RS"/>
        </w:rPr>
        <w:t>А</w:t>
      </w:r>
      <w:r w:rsidRPr="00FD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Cyrl-RS"/>
        </w:rPr>
        <w:t>У</w:t>
      </w:r>
      <w:r w:rsidRPr="00FD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sr-Latn-RS"/>
        </w:rPr>
        <w:t xml:space="preserve"> ДУНАВУ</w:t>
      </w:r>
    </w:p>
    <w:p w14:paraId="5EC823B7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F0F0ACF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F1E6D2F" w14:textId="77777777" w:rsidR="00FD71DE" w:rsidRPr="00F01D28" w:rsidRDefault="00FD71DE" w:rsidP="00FD71DE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ПРОЈЕКАТ  №</w:t>
      </w:r>
      <w:proofErr w:type="gramEnd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CB007.2.32.150</w:t>
      </w:r>
    </w:p>
    <w:p w14:paraId="0D4F7094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„ОДРЖИВИ ЕКО ПРИЈАТЕЉСКИ </w:t>
      </w:r>
      <w:proofErr w:type="gramStart"/>
      <w:r w:rsidRPr="00F01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РЕГИОН“</w:t>
      </w:r>
      <w:proofErr w:type="gramEnd"/>
    </w:p>
    <w:p w14:paraId="3B9EA2B3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FD48B10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6C126A" w14:textId="77777777" w:rsidR="00BD31CD" w:rsidRPr="00BD31CD" w:rsidRDefault="00BD31CD" w:rsidP="00BD31CD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RS"/>
        </w:rPr>
      </w:pPr>
      <w:r w:rsidRPr="00BD3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RS"/>
        </w:rPr>
        <w:t>Овај пројекат суфинансира Европскa унијa кроз Интеррег-ИПА Програм прекограничне сарадње Бугарска-Србија</w:t>
      </w:r>
    </w:p>
    <w:p w14:paraId="27E7BD14" w14:textId="0988CEA4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04D810F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85CD94B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08D89B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76A89AD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D3083BF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93AFE52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73B51A8" w14:textId="77777777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B8408C" w14:textId="66B435CC" w:rsidR="00FD71DE" w:rsidRDefault="00FD71D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A80B8CA" w14:textId="273DE384" w:rsidR="00EB343E" w:rsidRDefault="00EB343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01C3264" w14:textId="77777777" w:rsidR="00EB343E" w:rsidRDefault="00EB343E" w:rsidP="00FD71DE">
      <w:pPr>
        <w:shd w:val="clear" w:color="auto" w:fill="DBE5F1" w:themeFill="accent1" w:themeFillTint="33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7418B66" w14:textId="77777777" w:rsidR="00FD71DE" w:rsidRDefault="00FD71DE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88745B" w14:textId="77777777" w:rsidR="00FD71DE" w:rsidRDefault="00FD71DE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8B32F1E" w14:textId="77777777" w:rsidR="00FD71DE" w:rsidRDefault="00FD71DE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59244B0" w14:textId="77777777" w:rsidR="00FD71DE" w:rsidRDefault="00FD71DE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A7A1E37" w14:textId="77777777" w:rsidR="00FD71DE" w:rsidRDefault="00FD71DE" w:rsidP="009C6258">
      <w:pPr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54293B6" w14:textId="44EA3309" w:rsidR="009C6258" w:rsidRPr="009C6258" w:rsidRDefault="009C6258" w:rsidP="009C6258">
      <w:pPr>
        <w:spacing w:after="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САДРЖАЈ:</w:t>
      </w:r>
    </w:p>
    <w:p w14:paraId="36295BA6" w14:textId="77777777" w:rsidR="009C6258" w:rsidRPr="009C6258" w:rsidRDefault="009C6258" w:rsidP="009C6258">
      <w:pPr>
        <w:spacing w:after="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BADC16C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anchor="_Toc70547344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СКРАЋЕНИЦЕ</w:t>
        </w:r>
      </w:hyperlink>
    </w:p>
    <w:p w14:paraId="03E24F70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anchor="_Toc70547345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АПСТРАКТАН</w:t>
        </w:r>
      </w:hyperlink>
    </w:p>
    <w:p w14:paraId="1C0E3144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anchor="_Toc70547346" w:history="1">
        <w:r w:rsid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И. УВОЂЕЊЕ Р</w:t>
        </w:r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ЕТКИХ РЕЧНИХ ВРСТА У СЛИВУ ДУНАВСКЕ РЕКЕ</w:t>
        </w:r>
      </w:hyperlink>
    </w:p>
    <w:p w14:paraId="6784AC4E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anchor="_Toc70547347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1.1. ИДЕНТИФИКАЦИЈА ЛИЦА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67D32BC9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anchor="_Toc70547348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1.2. ДУНАВСКИ ЛОСОС (ХУЦХО ХУЦХО)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2B43BD19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anchor="_Toc70547349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1.3. ЕВРОПСКА УГОР (АНГУИЛЛА АНГУИЛЛА)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60BA4451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anchor="_Toc70547350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1.4. СЦХРАЕТЗЕР (ГИМНОЦЕПХАЛУС СЦХРАЕСТЕР)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64DBC844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_Toc70547351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1.5. ЗАЈЕДНИЧКА НАСА (ЦХОНДТРОСТРОМА НАСУС)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5E9EC7AC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anchor="_Toc70547352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ИИ. УВОЂЕЊЕ РИЈЕТКИХ РЕЧНИХ ВРСТА СА ИСТАКЊЕЊЕМ НА ЈЕДЕРИЦИМА У СЛИВУ РЕКЕ ДУНАВ</w:t>
        </w:r>
      </w:hyperlink>
    </w:p>
    <w:p w14:paraId="0C5EEBB4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anchor="_Toc70547353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2.1. БЕЛУГА </w:t>
        </w:r>
        <w:r w:rsid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ЈЕСЕТРА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3085002E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anchor="_Toc70547354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2.2. СТЕЛЛАТЕ </w:t>
        </w:r>
        <w:r w:rsid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ЈЕСЕТРА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7964A97E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anchor="_Toc70547355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2.3. РУСКИ ЈЕЗИД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25C73D3D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anchor="_Toc70547356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2.4. АТЛАНТИЦ </w:t>
        </w:r>
        <w:r w:rsid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ЈЕСЕТРА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67850761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anchor="_Toc70547357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2.5. СТЕРЛЕТ </w:t>
        </w:r>
        <w:r w:rsid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ЈЕСЕТРА</w:t>
        </w:r>
        <w:r w:rsidR="009C6258" w:rsidRPr="009C62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            </w:t>
        </w:r>
      </w:hyperlink>
    </w:p>
    <w:p w14:paraId="7578F33F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anchor="_Toc70547358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ИИИ. УГРОЖАВАЈУЋИ ЧИМБЕНИЦИ КОЈИ УТ</w:t>
        </w:r>
        <w:r w:rsid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ИЧУ</w:t>
        </w:r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 xml:space="preserve"> НА ВРСТЕ </w:t>
        </w:r>
        <w:r w:rsid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ЈЕСЕТРИ</w:t>
        </w:r>
      </w:hyperlink>
    </w:p>
    <w:p w14:paraId="3C189E04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anchor="_Toc70547359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ИВ. МОДЕЛИ ЗА ОЧУВАЊЕ ВРСТА ЈЕЗЕРА</w:t>
        </w:r>
      </w:hyperlink>
    </w:p>
    <w:p w14:paraId="1772C91C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anchor="_Toc70547360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4.1. ОЧУВАЊЕ БИОДИВЕРЗИТЕТЕ ЗА </w:t>
        </w:r>
        <w:r w:rsid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ЈЕСЕТРЕ</w:t>
        </w:r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: ИМПЛЕМЕНТАЦИЈА У РЕГИОНУ НЕГОТИНА</w:t>
        </w:r>
      </w:hyperlink>
    </w:p>
    <w:p w14:paraId="2999FFDB" w14:textId="77777777" w:rsidR="009C6258" w:rsidRPr="009C6258" w:rsidRDefault="00FB068D" w:rsidP="009C6258">
      <w:pPr>
        <w:spacing w:after="0" w:line="308" w:lineRule="atLeast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anchor="_Toc70547361" w:history="1">
        <w:r w:rsidR="009C6258" w:rsidRPr="009C625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4.2. ОЧУВАЊЕ БИОДИВЕРЗИТЕТСКОГ РАЗВОЈА ЗА ХИДРОГОНЕ: ПРИМЕНА У РЕГИЈИ МОНТАНА</w:t>
        </w:r>
      </w:hyperlink>
    </w:p>
    <w:p w14:paraId="13F92F61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anchor="_Toc70547362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В. МОГУЋНОСТИ ЗА УТВРЂИВАЊЕ ПРИРОДНОГ МРЕШТЕЊА</w:t>
        </w:r>
      </w:hyperlink>
    </w:p>
    <w:p w14:paraId="599B6644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anchor="_Toc70547363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ЗАКЉУЧЦИ</w:t>
        </w:r>
      </w:hyperlink>
    </w:p>
    <w:p w14:paraId="39AF2A3A" w14:textId="77777777" w:rsidR="009C6258" w:rsidRPr="009C6258" w:rsidRDefault="00FB068D" w:rsidP="009C6258">
      <w:pPr>
        <w:spacing w:before="120" w:after="12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anchor="_Toc70547364" w:history="1">
        <w:r w:rsidR="009C6258" w:rsidRPr="009C6258">
          <w:rPr>
            <w:rFonts w:ascii="Times New Roman" w:eastAsia="Times New Roman" w:hAnsi="Times New Roman" w:cs="Times New Roman"/>
            <w:b/>
            <w:bCs/>
            <w:caps/>
            <w:color w:val="000000"/>
            <w:sz w:val="24"/>
            <w:szCs w:val="24"/>
            <w:u w:val="single"/>
          </w:rPr>
          <w:t>ИЗВОРИ ИНФОРМАЦИЈА</w:t>
        </w:r>
      </w:hyperlink>
    </w:p>
    <w:p w14:paraId="0FF3BFA6" w14:textId="77777777" w:rsidR="009C6258" w:rsidRPr="009C6258" w:rsidRDefault="009C6258" w:rsidP="009C6258">
      <w:pPr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0C0F36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B03E2C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264DD043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23B6F9D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358246" w14:textId="77777777" w:rsidR="009C6258" w:rsidRPr="009C6258" w:rsidRDefault="009C6258" w:rsidP="009C6258">
      <w:pPr>
        <w:spacing w:before="240" w:after="0" w:line="30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0" w:name="_Toc70547344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СКРАЋЕНИЦЕ</w:t>
      </w:r>
      <w:bookmarkEnd w:id="0"/>
    </w:p>
    <w:p w14:paraId="58D37FA9" w14:textId="77777777" w:rsidR="009C6258" w:rsidRPr="009C6258" w:rsidRDefault="009C6258" w:rsidP="009C6258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9C6258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7555"/>
      </w:tblGrid>
      <w:tr w:rsidR="009C6258" w:rsidRPr="009C6258" w14:paraId="4C9E5A4C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55421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ЦИТЕС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58BE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међународној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трговини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дивље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фауне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</w:t>
            </w:r>
            <w:proofErr w:type="spellEnd"/>
          </w:p>
        </w:tc>
      </w:tr>
      <w:tr w:rsidR="009C6258" w:rsidRPr="009C6258" w14:paraId="3750E3C3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AF750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ЦМЦ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B2DF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очувању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миграторних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дивљих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животиња</w:t>
            </w:r>
            <w:proofErr w:type="spellEnd"/>
          </w:p>
        </w:tc>
      </w:tr>
      <w:tr w:rsidR="009C6258" w:rsidRPr="009C6258" w14:paraId="52EBD7D9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E8602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D038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Конзервативна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</w:p>
        </w:tc>
      </w:tr>
      <w:tr w:rsidR="009C6258" w:rsidRPr="009C6258" w14:paraId="7C0E64AC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48210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ДХА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7EAC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Доцосахекаеноиц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ацид</w:t>
            </w:r>
            <w:proofErr w:type="spellEnd"/>
          </w:p>
        </w:tc>
      </w:tr>
      <w:tr w:rsidR="009C6258" w:rsidRPr="009C6258" w14:paraId="74402EC2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912AB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ДРБ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1172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Слив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</w:t>
            </w:r>
            <w:proofErr w:type="spellEnd"/>
          </w:p>
        </w:tc>
      </w:tr>
      <w:tr w:rsidR="009C6258" w:rsidRPr="009C6258" w14:paraId="35B7D2D3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EBB57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ДРБМП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E3FB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Планови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управљања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сливом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Дунав</w:t>
            </w:r>
            <w:proofErr w:type="spellEnd"/>
          </w:p>
        </w:tc>
      </w:tr>
      <w:tr w:rsidR="009C6258" w:rsidRPr="009C6258" w14:paraId="5E75D81D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FBCCB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ДРПЦ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B747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Конвенција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заштити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реке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color w:val="191917"/>
                <w:sz w:val="24"/>
                <w:szCs w:val="24"/>
                <w:shd w:val="clear" w:color="auto" w:fill="FFFFFF"/>
              </w:rPr>
              <w:t>Дунав</w:t>
            </w:r>
            <w:proofErr w:type="spellEnd"/>
          </w:p>
        </w:tc>
      </w:tr>
      <w:tr w:rsidR="009C6258" w:rsidRPr="009C6258" w14:paraId="46DFAEC3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0A8A6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D985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Угрожени</w:t>
            </w:r>
            <w:proofErr w:type="spellEnd"/>
          </w:p>
        </w:tc>
      </w:tr>
      <w:tr w:rsidR="009C6258" w:rsidRPr="009C6258" w14:paraId="5A582D08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05AD1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ЕПА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AD96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Еикосапентаенојска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киселина</w:t>
            </w:r>
            <w:proofErr w:type="spellEnd"/>
          </w:p>
        </w:tc>
      </w:tr>
      <w:tr w:rsidR="009C6258" w:rsidRPr="009C6258" w14:paraId="492E4573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46812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ЕУ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3E0D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Европска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</w:p>
        </w:tc>
      </w:tr>
      <w:tr w:rsidR="009C6258" w:rsidRPr="009C6258" w14:paraId="001A84EF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B269F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ЕУСДР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4D13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ЕУ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Дунавски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proofErr w:type="spellEnd"/>
          </w:p>
        </w:tc>
      </w:tr>
      <w:tr w:rsidR="009C6258" w:rsidRPr="009C6258" w14:paraId="760ECBA5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A6CB0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67B1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Хидроелектране</w:t>
            </w:r>
            <w:proofErr w:type="spellEnd"/>
          </w:p>
        </w:tc>
      </w:tr>
      <w:tr w:rsidR="009C6258" w:rsidRPr="009C6258" w14:paraId="63B1CAE2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75CE6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ИАД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A305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Дунава</w:t>
            </w:r>
            <w:proofErr w:type="spellEnd"/>
          </w:p>
        </w:tc>
      </w:tr>
      <w:tr w:rsidR="009C6258" w:rsidRPr="009C6258" w14:paraId="102D6F46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138A9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ИЦПДР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8F33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Дунав</w:t>
            </w:r>
            <w:proofErr w:type="spellEnd"/>
          </w:p>
        </w:tc>
      </w:tr>
      <w:tr w:rsidR="009C6258" w:rsidRPr="009C6258" w14:paraId="23C31CC3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27871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ИУЦН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60BD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9C6258" w:rsidRPr="009C6258" w14:paraId="03F0761B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3201D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ЛЦ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9FA6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</w:t>
            </w:r>
            <w:proofErr w:type="spellEnd"/>
          </w:p>
        </w:tc>
      </w:tr>
      <w:tr w:rsidR="009C6258" w:rsidRPr="009C6258" w14:paraId="771E2242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F9245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НВО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3E35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Невладина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</w:p>
        </w:tc>
      </w:tr>
      <w:tr w:rsidR="009C6258" w:rsidRPr="009C6258" w14:paraId="429AA236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54838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6B20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Рањива</w:t>
            </w:r>
            <w:proofErr w:type="spellEnd"/>
          </w:p>
        </w:tc>
      </w:tr>
      <w:tr w:rsidR="009C6258" w:rsidRPr="009C6258" w14:paraId="3A1C2A6C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C78F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ВФД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9FE6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Оквирна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директива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водама</w:t>
            </w:r>
            <w:proofErr w:type="spellEnd"/>
          </w:p>
        </w:tc>
      </w:tr>
      <w:tr w:rsidR="009C6258" w:rsidRPr="009C6258" w14:paraId="3D8BA530" w14:textId="77777777" w:rsidTr="009C6258"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45257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</w:rPr>
              <w:t>ВФФ</w:t>
            </w:r>
          </w:p>
        </w:tc>
        <w:tc>
          <w:tcPr>
            <w:tcW w:w="7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BD09" w14:textId="77777777" w:rsidR="009C6258" w:rsidRPr="009C6258" w:rsidRDefault="009C6258" w:rsidP="009C6258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Светски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фонд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природу</w:t>
            </w:r>
            <w:proofErr w:type="spellEnd"/>
          </w:p>
        </w:tc>
      </w:tr>
    </w:tbl>
    <w:p w14:paraId="314CEEA4" w14:textId="77777777" w:rsidR="009C6258" w:rsidRPr="009C6258" w:rsidRDefault="009C6258" w:rsidP="009C6258">
      <w:pPr>
        <w:spacing w:before="240"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14:paraId="6F6BD900" w14:textId="77777777" w:rsidR="009C6258" w:rsidRPr="009C6258" w:rsidRDefault="009C6258" w:rsidP="009C6258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9C6258">
        <w:rPr>
          <w:rFonts w:ascii="Arial" w:eastAsia="Times New Roman" w:hAnsi="Arial" w:cs="Arial"/>
          <w:color w:val="000000"/>
        </w:rPr>
        <w:t> </w:t>
      </w:r>
    </w:p>
    <w:p w14:paraId="53198F8A" w14:textId="7326B845" w:rsidR="009C6258" w:rsidRPr="00FD71DE" w:rsidRDefault="009C6258" w:rsidP="00FD71DE">
      <w:pPr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</w:p>
    <w:p w14:paraId="16A4828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најмеђународнији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окупљајући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стотине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сисаре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приплодне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гмизаваца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водоземаца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0C71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небезбедно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предпоставке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(ДРБ)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стручњаци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примећују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привукло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51B65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CCEF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 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BDB4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(ЕУСДР)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синергију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иницијатива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870F1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5A2A2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Област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приоритета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"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пејзажа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ваздуха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земљишта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побољшава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најмање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15%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деградираних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екосистема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повећање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складу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враћањем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Подунављу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10543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(ИЦПДР)</w:t>
      </w:r>
      <w:bookmarkStart w:id="1" w:name="_ftnref1"/>
      <w:bookmarkEnd w:id="1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"https://translate.googleusercontent.com/translate_f" \l "_ftn1" </w:instrTex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правичног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ИЦПДР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ресорних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невладиним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ftnref2"/>
      <w:bookmarkEnd w:id="2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"https://translate.googleusercontent.com/translate_f" \l "_ftn2" </w:instrTex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 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7B9C5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bookmarkStart w:id="3" w:name="_ftnref3"/>
      <w:bookmarkEnd w:id="3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"https://translate.googleusercontent.com/translate_f" \l "_ftn3" </w:instrTex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рехабилитацију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Поменути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аутохтоних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складиштења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алтернативе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борба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9B83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истакнутих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78C93C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0F3BC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74F10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4F41C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бављење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могућношћу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9B5DE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угашеног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водећим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6DAB3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DA64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усредсређени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превазићи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F1016E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D0BAAC" w14:textId="77777777" w:rsidR="009C6258" w:rsidRPr="009C6258" w:rsidRDefault="009C6258" w:rsidP="009C6258">
      <w:pPr>
        <w:spacing w:before="240"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14:paraId="32960691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4" w:name="_Toc70547346"/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Ја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УВОД Р</w:t>
      </w:r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ЕТКИХ РЕЧНИХ ВРСТА У СЛИВУ ДУНАВСКЕ РЕКЕ</w:t>
      </w:r>
      <w:bookmarkEnd w:id="4"/>
    </w:p>
    <w:p w14:paraId="4086B75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простире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5 640 км2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3 000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Сцхварзвалда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прелазећи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чинећи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девет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Немачку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Аустрију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Словачку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Мађарску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Хрватску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Украјину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подељеним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Шварцвалда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Девинских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Беча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Девинских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Јужним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Карпатима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низију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0B34C6E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6 500 м2 с1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ушћу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Вишенаменска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817 00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километара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колизије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река-поплавна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Кхаитер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2000;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1999, 2001).</w:t>
      </w:r>
    </w:p>
    <w:p w14:paraId="02BF18C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разноврсној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цењеном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нетакнута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вредношћу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доњег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82779F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уврштене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и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ФФХ.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одвајања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EDE7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2A1F3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стављају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робом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Неготин-Монтана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сусреће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тромеђе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FCC84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Борском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североисточне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северозападној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C9F0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пеликана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орла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белорепана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Цхондростома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Хуцхо</w:t>
      </w:r>
      <w:proofErr w:type="spellEnd"/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),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Гимноцепхалус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Ангуилла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ангуилла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8D3805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AAC9F1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</w:t>
      </w:r>
      <w:bookmarkStart w:id="5" w:name="_Toc70547347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ИДЕНТИФИКАЦИЈА ЛИЦА</w:t>
      </w:r>
      <w:bookmarkEnd w:id="5"/>
    </w:p>
    <w:p w14:paraId="6312103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морфометријским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америчке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203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митохондријског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петља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полиморфизама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203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,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дозвољеног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</w:p>
    <w:p w14:paraId="470617BA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C9286A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204F49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8E891F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2F4FCB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14D6F2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1.2. </w:t>
      </w:r>
      <w:bookmarkStart w:id="6" w:name="_Toc70547348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ДУНАВСКИ ЛОСОС (ХУЦХО ХУЦХО)</w:t>
      </w:r>
      <w:bookmarkEnd w:id="6"/>
    </w:p>
    <w:p w14:paraId="7086BE3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Хуцхен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Салмонидае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дванаест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Немачку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Аустрију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Словачку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Пољску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Чешку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Украјину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Босну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Херцеговину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Хрватску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(ХЕ),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мењају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3CBFB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Оваква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уништавањем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ометају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гледајући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, 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(ЕН).</w:t>
      </w:r>
    </w:p>
    <w:p w14:paraId="41949B7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Хучени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итеропарозни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континуирано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чега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предатором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храни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водоземцима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гмизавцима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птицама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сисарима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цигаре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његова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Мушки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четврте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D1DDE8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Хучени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итеропарозни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покушавају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настављају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пролећа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лосос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полаже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планинских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ваљења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лососи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брзо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развијају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скоро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удвостручују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величину.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сточарством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FC6B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A8939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32A14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самоодрживи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идентификовати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складиштење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догађа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складиштења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12AA1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AD5187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1.3. </w:t>
      </w:r>
      <w:bookmarkStart w:id="7" w:name="_Toc70547349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ЕВРОПСКА УГОР (АНГУИЛЛА АНГУИЛЛА)</w:t>
      </w:r>
      <w:bookmarkEnd w:id="7"/>
    </w:p>
    <w:p w14:paraId="371DAF9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Енглеске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Балтичког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приобалних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Средоземног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обалним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E5FDF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исушивања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заузета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уочити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појављује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нажалост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ИУЦН-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 </w:t>
      </w: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,</w:t>
      </w:r>
      <w:proofErr w:type="gram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(ЦР)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7A4C927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Европска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катадромна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рађа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мријести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мору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тога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мигрира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копнене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спровођења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својих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исхрана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фаза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раста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изванредне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препознати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променама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дешавају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карактеристика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изгледа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фазе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ларве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трајати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седам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месеци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беба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лебди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После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тога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тело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трансформише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другу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фазу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рибље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тело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постаје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провидно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прозирно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јегрицу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називају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„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стакленим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“</w:t>
      </w:r>
      <w:proofErr w:type="gram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уђу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слатководне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системе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доживљавају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једну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трансмутацију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враћа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боју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</w:t>
      </w:r>
    </w:p>
    <w:p w14:paraId="669CDA9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Ова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фаза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идентификована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„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жута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“</w:t>
      </w:r>
      <w:proofErr w:type="gram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своје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коначне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трансформације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разликовати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промени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боје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телу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појављује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метални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сјај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велике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очи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њихова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коначна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трансмутација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чега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сексуално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зрели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полагање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мору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</w:t>
      </w:r>
    </w:p>
    <w:p w14:paraId="2A7AC59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 </w:t>
      </w:r>
    </w:p>
    <w:p w14:paraId="42FA4F6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Нормалан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јединке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достигне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80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нарасте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130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дужину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Становници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европске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драстично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смањили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угроженима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</w:t>
      </w:r>
    </w:p>
    <w:p w14:paraId="17C4E25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Стручњаци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одредити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непристојне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околности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комбинација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мешавине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фактора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спецификација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узрока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под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претпоставком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разуме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миграционим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стазама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хидроелектричне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турбине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озбиљан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предлог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прати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слабљење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примерака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природе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климатске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болести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паразити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узели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данак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ситуацији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велике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важности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напоменути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губитак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заједно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експлоатацијом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европске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храну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корист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смањеном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броју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</w:t>
      </w:r>
    </w:p>
    <w:p w14:paraId="772BAE6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lastRenderedPageBreak/>
        <w:t xml:space="preserve">ИУЦН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препоручио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напоре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надгледања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како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опоравак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европске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јегуље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био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успешан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 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људско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конзервације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изазваног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вештачким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активностима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CE3886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5B52CF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1.4. </w:t>
      </w:r>
      <w:bookmarkStart w:id="8" w:name="_Toc70547350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СЦХРАЕТЗЕР (ГИМНОЦЕПХАЛУС СЦХРАЕСТЕР)</w:t>
      </w:r>
      <w:bookmarkEnd w:id="8"/>
    </w:p>
    <w:p w14:paraId="2D8498C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пругаста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рифа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непроменљивим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8 000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догађају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гроздовима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5F25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ноћним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сићушним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младунци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вретенца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наилази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несрећи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пругаста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рифа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Поред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тога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проблем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загађења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разарајући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судар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Сцхраетзеровим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предрасуде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нормалног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пуног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.</w:t>
      </w:r>
    </w:p>
    <w:p w14:paraId="5A8FE57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 </w:t>
      </w:r>
    </w:p>
    <w:p w14:paraId="5D625CC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 </w:t>
      </w:r>
    </w:p>
    <w:p w14:paraId="218EC6C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</w:rPr>
        <w:t> </w:t>
      </w:r>
    </w:p>
    <w:p w14:paraId="7D6D149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Узимајући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мере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предузете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Сцхраетзер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уврштен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Анексе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 и ИВ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(2002).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ИУЦН-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ова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црвена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листа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801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Сцхраетзера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забринутости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(ЛЦ).</w:t>
      </w:r>
    </w:p>
    <w:p w14:paraId="5CBAC8B4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B28CEB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1.5. </w:t>
      </w:r>
      <w:bookmarkStart w:id="9" w:name="_Toc70547351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ЗАЈЕДНИЧКА НАСА (ЦХОНДТРОСТРОМА НАСУС)</w:t>
      </w:r>
      <w:bookmarkEnd w:id="9"/>
    </w:p>
    <w:p w14:paraId="50D4B99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снееп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брдским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витко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леђима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препознатљиве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њушку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занимљива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илузију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леђа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тамно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леђна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наранџасте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07B6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надгледати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сунце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појављује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сребрни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насељавају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хладном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Снеепу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AAB9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земљишту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предјелима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проналажење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алги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безброј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превртања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631F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и 15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и 4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15-17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Целзијуса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одложи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50 000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100 000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јајашаца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инкубације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770C8C" w14:textId="77777777" w:rsidR="009C6258" w:rsidRPr="009C6258" w:rsidRDefault="009C6258" w:rsidP="009C6258">
      <w:pPr>
        <w:spacing w:after="0" w:line="40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забринутошћу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(ЛЦ).</w:t>
      </w:r>
    </w:p>
    <w:p w14:paraId="2629259C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94A7D8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F7B899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71A916" w14:textId="77777777" w:rsidR="009C6258" w:rsidRPr="009C6258" w:rsidRDefault="009C6258" w:rsidP="009C6258">
      <w:pPr>
        <w:spacing w:after="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709339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10" w:name="_Toc70547352"/>
      <w:proofErr w:type="gramStart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 .</w:t>
      </w:r>
      <w:proofErr w:type="gramEnd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УВОЂЕЊЕ РИЈЕТКИХ РЕЧНИХ ВРСТА СА ИСТАКЊЕЊЕМ НА ЈЕДЕРИЦИМА У СЛИВУ РЕКЕ ДУНАВ</w:t>
      </w:r>
      <w:bookmarkEnd w:id="10"/>
    </w:p>
    <w:p w14:paraId="22CCD09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најстаријих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A22D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жртве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поменутих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уврштене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најугроженију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осамдесет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8707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најдрагоценије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садашње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Српски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Хусо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хусо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гуелденстаедтии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звездасте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стеллатус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бродске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нудивентрис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рутхенус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48F92E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бугарски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Хусо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хусо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гуелденстаедтии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звездасте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стеллатус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нудивентрис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рутхенус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посматрати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територији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статусом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(ЕН)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најмања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забринутост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(ЛЦ)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нудивентрис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42DB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5AB85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5EF34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A76CB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мађарском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03846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опсегу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° Ц).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рупама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дубљим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A180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посећују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„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утиснуте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стадијуму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досегу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пубертет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79F8B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погодних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локалитета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једна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ријетка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поређењу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другом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Прилагођавања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дешавају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огроман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стварањем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кључни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46D19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Уочене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окружење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прекинуто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подизањем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насипа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супротности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нормалним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међувремену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E3F45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21569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03C66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DF5EA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анадромни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излежу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слатким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пресељавају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примарну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репродукцију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Анадромне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уграђена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састав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слатководних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породица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лампију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променио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древне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Остеицхтхиес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коштане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хрскавице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Карактеристике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дугачак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четири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сврха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мамац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финансирање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ракова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коштане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покривају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уздужних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плоча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користе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грабљивица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покушавају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нападну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наштете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3FACA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поређењу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породицама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репрезентативне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љуске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дебеле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слојеве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Штавише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људски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донео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додатне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компликације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уочити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хирурзи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усмереним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CE3C3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побољшавало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надгледа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дугорочне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прековремених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E7AA8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1994.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Софији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потписана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Конвенција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(ДРПЦ),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снагу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ступила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1998.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.</w:t>
      </w:r>
    </w:p>
    <w:p w14:paraId="55867DA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 </w:t>
      </w:r>
    </w:p>
    <w:p w14:paraId="239024E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 </w:t>
      </w:r>
    </w:p>
    <w:p w14:paraId="6BE4573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 </w:t>
      </w:r>
    </w:p>
    <w:p w14:paraId="31F35DC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стране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потписале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Конвенцију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сагласиле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сарађују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основним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питањима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управљања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предузимањем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„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одговарајућих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законских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административних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техничких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мера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како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барем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одржао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могуће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побољшао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тренутни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еколошки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услови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свом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спречи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смањи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колико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год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могуће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штетне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утицаје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дешавају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вероватно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проузроковати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  <w:shd w:val="clear" w:color="auto" w:fill="FFFFFF"/>
        </w:rPr>
        <w:t>. " </w:t>
      </w:r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превенције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власти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су 2011.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најавиле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једногодишњу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забрану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касније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продужена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краја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2015.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затим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 xml:space="preserve"> 5 </w:t>
      </w:r>
      <w:proofErr w:type="spellStart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191917"/>
          <w:sz w:val="24"/>
          <w:szCs w:val="24"/>
        </w:rPr>
        <w:t>.</w:t>
      </w:r>
    </w:p>
    <w:p w14:paraId="60628CE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проглашењу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гљива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ограничењима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- 31.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неадекватна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евидентан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спорадичном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преосталих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C4C81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уклањање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E224D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B6EA66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2.1. </w:t>
      </w:r>
      <w:bookmarkStart w:id="11" w:name="_Toc70547353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БЕЛУГА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ЈЕСЕТРА</w:t>
      </w:r>
      <w:bookmarkEnd w:id="11"/>
    </w:p>
    <w:p w14:paraId="194AF97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највећих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предаторских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ретко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суочава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предаторима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зрелости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касније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мужјаци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12-14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16-18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5001D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генерације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четири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достизала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3,2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64AD17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51268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највећа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регистрована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дугачка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8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1909,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Банаресцу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1964,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Отел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телесна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ухваћених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јединки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м и 300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сомови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 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Смањена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димензија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очигледна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ефекат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прекомерног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агресивнији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407E8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ухапшена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издржи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стотина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килограма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кавијара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висока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мријешћења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изложена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изложености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догађа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харпунима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мрежама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екстремне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прекомерне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експлоатације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90%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421D2B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65A93B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2.2. </w:t>
      </w:r>
      <w:bookmarkStart w:id="12" w:name="_Toc70547354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СТЕЛЛАТЕ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ЈЕСЕТРА</w:t>
      </w:r>
      <w:bookmarkEnd w:id="12"/>
    </w:p>
    <w:p w14:paraId="3419EF2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Звјездана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препознатљивих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плоча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трбушни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леђни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зраци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заузимају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25%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Занимљиво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Стеллатеова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кожа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пријатан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разликовању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F8D09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плавкаста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кремасто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трбушном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шупљином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плочице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жућкастобеле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танких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67D86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белугом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легална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Звјездане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E60D50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996F62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2.3. </w:t>
      </w:r>
      <w:bookmarkStart w:id="13" w:name="_Toc70547355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РУСКИ ЈЕЗИД</w:t>
      </w:r>
      <w:bookmarkEnd w:id="13"/>
    </w:p>
    <w:p w14:paraId="7C52DAB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дијамантска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најраспрострањенија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9D8FB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Отприлике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нарочито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испуњавају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95404C">
        <w:fldChar w:fldCharType="begin"/>
      </w:r>
      <w:r w:rsidR="0095404C">
        <w:instrText xml:space="preserve"> HYPERLINK "https://translate.google.com/translate?hl=en&amp;prev=_t&amp;sl=en&amp;tl=sr&amp;u=https://www.britannica.com/place/Black-Sea" </w:instrText>
      </w:r>
      <w:r w:rsidR="0095404C">
        <w:fldChar w:fldCharType="separate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Црно</w:t>
      </w:r>
      <w:proofErr w:type="spellEnd"/>
      <w:r w:rsidR="009540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="0095404C">
        <w:fldChar w:fldCharType="begin"/>
      </w:r>
      <w:r w:rsidR="0095404C">
        <w:instrText xml:space="preserve"> HYPERLINK "https://translate.google.com/translate?hl=en&amp;prev=_t&amp;sl=en&amp;tl=sr&amp;u=https://www.britannica.com/place/Caspian-Sea" </w:instrText>
      </w:r>
      <w:r w:rsidR="0095404C">
        <w:fldChar w:fldCharType="separate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Каспијско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море</w:t>
      </w:r>
      <w:proofErr w:type="spellEnd"/>
      <w:r w:rsidR="009540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налазити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бугарске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територије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49E8B2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зрелост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мушкарце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8 - 13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пријављених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брзог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прекомерни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уништавање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светских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кавијара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аквакултуром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4E7D0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учињено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покушаја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покретања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културе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међутим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гајени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кавијар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доступан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с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незнатним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количинама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1ECE5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рањивом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DF52F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7EF319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2.4. </w:t>
      </w:r>
      <w:bookmarkStart w:id="14" w:name="_Toc70547356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АТЛАНТИЦ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ЈЕСЕТРА</w:t>
      </w:r>
      <w:bookmarkEnd w:id="14"/>
    </w:p>
    <w:p w14:paraId="7A40DB5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дуговечна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Балтичком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залиха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Русији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несрећу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2BDA4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(ЦИТЕС).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фунти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4,3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625DE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32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Сједињених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северозападном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веровало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изумрла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EB9BEB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D62AC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Лабрадору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Њуфаундленду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Мексичком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Бермудима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Гвајани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пливати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32F16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плитке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шелфа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м,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приобалне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мекушце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63B463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0C2E1B" w14:textId="77777777" w:rsidR="009C6258" w:rsidRPr="009C6258" w:rsidRDefault="009C6258" w:rsidP="009C6258">
      <w:pPr>
        <w:spacing w:before="40" w:after="0" w:line="308" w:lineRule="atLeast"/>
        <w:ind w:left="360" w:hanging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</w:t>
      </w:r>
      <w:bookmarkStart w:id="15" w:name="_Toc70547357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СТЕРЛЕТ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ЈЕСЕТРА</w:t>
      </w:r>
      <w:bookmarkEnd w:id="15"/>
    </w:p>
    <w:p w14:paraId="04518A1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најмања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басену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искључиво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слатководна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насељава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континента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албино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најлагоднији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сасвим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погодан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омањи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нарасту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1,2 м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постиже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раздобља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ситних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одређеним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тежином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заиста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баштенске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72C5F3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Карактеристике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скутуса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драматичних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линија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кожа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Њушка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дугачка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зашиљена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дрхтавим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мренама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расцепљена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смеђе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понекад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тамнозеленом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бојом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леђима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ивицама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трбухом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4E85C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рањивом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ИУЦН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црвеној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6FA66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Министарство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спровело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забрану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стерлета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рутхенус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постојећих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привремених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ограничења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Украјини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Румунији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јединство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подзаштићене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Доњег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Подунавља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Подунављу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складиштења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недовољним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надокнаде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неодрживог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негативних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фактора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Вассилев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2006).</w:t>
      </w:r>
    </w:p>
    <w:p w14:paraId="454F4EE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91CD9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88775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Штавише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примећено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привукло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стадијуме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0561C05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7DAB21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16" w:name="_Toc70547358"/>
      <w:proofErr w:type="gramStart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ИИИ .</w:t>
      </w:r>
      <w:proofErr w:type="gramEnd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УГРОЖАВАЈУЋИ ЧИМБЕНИЦИ КОЈИ УТИЦАЈУ НА ВРСТУ ЈИЗИГРА</w:t>
      </w:r>
      <w:bookmarkEnd w:id="16"/>
    </w:p>
    <w:p w14:paraId="5A1AFD7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ИУЦН-у,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најкритичнијом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тешкоћама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прогресивног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натерала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7B587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изазвана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изазвана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враћају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Дејства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ометају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онемогућавају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одсељавање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повратак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FE701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сазревају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1F743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изазване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изгубљено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20 </w:t>
      </w:r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покојног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 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 20 </w:t>
      </w:r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-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години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вијека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BBACCA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4A1EF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нередовит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разликовати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пуштају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уопште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  </w:t>
      </w:r>
    </w:p>
    <w:p w14:paraId="7E931D6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мријешћења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угроженошћу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изумирањем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снажно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исправљена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канализована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изливања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мочвара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неодвојиви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DC0EA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Президање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достигло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врхунац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хидроелектране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Гвоздена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Гвоздена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ИИ,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дефинишу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границу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Румуније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блокирају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сваки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приступ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досезање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навигацији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2AD77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аквакултуру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испуштању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проузроковати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озбиљне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99A08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изазване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дефинишу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дугорочно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опстајање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FB41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9C521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примарну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биофизичких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поремећаја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05E245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C64776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17" w:name="_Toc70547359"/>
      <w:proofErr w:type="gramStart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ИИИ .</w:t>
      </w:r>
      <w:proofErr w:type="gramEnd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МОДЕЛИ ЗА ОЧУВАЊЕ ВРСТА ЈЕЗЕРА</w:t>
      </w:r>
      <w:bookmarkEnd w:id="17"/>
    </w:p>
    <w:p w14:paraId="67B03DE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догађају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поступцима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39E0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патила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Подизање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баријера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388C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Вредност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рањивим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искоришћавање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деликатесом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741B4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Штавише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претраживости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кавијара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аквакултуру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спасилачка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4767D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(ДРБМП)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развијени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складу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Оквирном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директивом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ЕУ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(ОДВ)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побољшању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флору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фауну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67259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19787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јасан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штитећи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расадници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EE43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узрокована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вештачком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изградњом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F6D9C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Хидроелектране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Гвоздена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Гвоздена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ИИ,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дефинишу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границу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Румуније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осигуравају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поуздану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одрживу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енергију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негативан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блокирају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сваки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приступ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досезање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расадници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селица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0E0E3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ИЦПДР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убрзао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изводљивости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1970-их и 1980-их,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акумулациони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Компензација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Подунављу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слатководно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44738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рођене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синергију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првобитне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издржати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0FEAB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AB3F1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9F8D4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FB9A4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пажљив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прекид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најбоље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издрже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Повратом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драстично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превладати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досега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селективни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5BA76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аранжман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непогрешиво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везама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гледати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помаже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32316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проценат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DF01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ек-ситу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објекта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миграторне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ин-ситу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конзервативног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1195A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Поента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склопова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пуштањем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малолетника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разноврсност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A5F61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крио-банкарства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помаже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DE977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465723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DC8F5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репрезентативне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иначе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крио-банкарство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73B5C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добара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криопрезервацију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нежељених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ефеката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115D7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усмерено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'.</w:t>
      </w:r>
    </w:p>
    <w:p w14:paraId="713BBE0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гашења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усредсређени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истребљење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дисбаланс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хирурга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обједињених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F6E37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8252D4" w14:textId="77777777" w:rsidR="009C6258" w:rsidRPr="009C6258" w:rsidRDefault="009C6258" w:rsidP="009C6258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B08B19" w14:textId="77777777" w:rsidR="009C6258" w:rsidRPr="009C6258" w:rsidRDefault="009C6258" w:rsidP="009C6258">
      <w:pPr>
        <w:spacing w:before="40" w:after="0" w:line="40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Toc70547360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 ОЧУВАЊЕ БИОДИВЕРЗИТЕТЕ ЗА ХИРУРГЕ: ИМПЛЕМЕНТАЦИЈА У РЕГИОНУ НЕГОТИНА</w:t>
      </w:r>
      <w:bookmarkEnd w:id="18"/>
    </w:p>
    <w:p w14:paraId="5AD5102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поседује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планински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полуострва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Кумулативна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идентификованих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4.082,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10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идентификовано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897D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468C8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8A7E2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френолошка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уочене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154BF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Румуније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Тимоком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брдима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Видровац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Бадњево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Братујевац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пејзажних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113C3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комплетну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уравнотежен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равнотеже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компресија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рехабилитација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00E3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применљива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2020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усредсређена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екосистеме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кампањи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унутрашњу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пролазу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надгледани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контролисани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6EB7C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обрадиће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припремљена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C94DF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381179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02F5F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подухвате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A4037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пејзажа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унутрашња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25CAA4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DBCA53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ED9656" w14:textId="77777777" w:rsidR="009C6258" w:rsidRPr="009C6258" w:rsidRDefault="009C6258" w:rsidP="009C6258">
      <w:pPr>
        <w:spacing w:before="40" w:after="0" w:line="40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Toc70547361"/>
      <w:r w:rsidRPr="009C6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 ОЧУВАЊЕ БИОДИВЕРЗИТЕТЕ ЗА ХИРУРГЕ: ИМПЛЕМЕНТАЦИЈА У РЕГИЈИ МОНТАНА</w:t>
      </w:r>
      <w:bookmarkEnd w:id="19"/>
    </w:p>
    <w:p w14:paraId="65AD465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северозападу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репрезентативни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ендемичних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заштићених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Бугарске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регулисање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уношења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туђих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увођења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регулисање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примерцима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изванредних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6F92F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665CD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404335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317F6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пуштање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непознатом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F11EC8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примењивати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обуке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професионалне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аклиматизацију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36B75F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стабилизацију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Штавише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професионалце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пољу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593C1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A1F73B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20" w:name="_Toc70547362"/>
      <w:proofErr w:type="gramStart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 .</w:t>
      </w:r>
      <w:proofErr w:type="gramEnd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МОГУЋНОСТИ ЗА УСПОСТАВЉАЊЕ ПРИРОДНОГ МРЕШТЕЊА</w:t>
      </w:r>
      <w:bookmarkEnd w:id="20"/>
    </w:p>
    <w:p w14:paraId="50965B0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вијеку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успјешан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рибљим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празнину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2F68D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гајених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D61AFC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D5FA5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F15EF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вештачко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D57D6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мушких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распоређених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узгајалишту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језерца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ограђеног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Садашњом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узме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таласима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супстрата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преференције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мрешћењу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8B76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опсегу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° Ц).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рупама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дубљим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узводно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E1B6BA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Пролећне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хибернирају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посећују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„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proofErr w:type="gram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чињенице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утиснуте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стадијуму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досегу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2BC72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пубертет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јавља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женки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83E4E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дешава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изгубе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поређењу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F0710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D7CA7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13DB5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тврде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површине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прекривене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глином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шљунком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пукотине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грабежљиваца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хидро-морфолошких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карактеристика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D2C684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неколико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м,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оплођених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јајашаца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лепљива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распршивања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слежу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обично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нижом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почну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стадијума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167FF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Флуктуације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хидроелектрана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38ABB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депресивно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досегну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пронаћи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присиљени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јединкама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200B5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изобличењем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мрестилиште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контролисане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мрест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5F87C8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7CE8DD91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890E26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F06EB2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D3608F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2C02C7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734D72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6ED2A4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5938C99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858F75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DD2A60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21" w:name="_Toc70547363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ЗАКЉУЧЦИ</w:t>
      </w:r>
      <w:bookmarkEnd w:id="21"/>
    </w:p>
    <w:p w14:paraId="6DAF5CCE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разноликости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одличан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дужине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стотину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сисара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приплодних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гмизаваца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водоземаца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B884EA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животињску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дубина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постављањем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баријера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пловних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опипљиви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варијација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3EFA12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смислену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сврху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требало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безбедносне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јачање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спојена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0C5970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гарантовање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изванредним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бржим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проактивнијим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фокусирали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биодиверзитета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наглашавајући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CFC973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мријестилишта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повећавајући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комплетан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еколошких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6FF74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уобичајеног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превазиђу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човек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6D2E1D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8EDC89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1997.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стављени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фауне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(ЦИТЕС).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прекограничних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промовисањем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проводљивости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AF50FB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резултира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иако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суочавају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потешкоћама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прекомерна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миграционих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C28586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нуде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милиона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имања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94571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Историјски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каспијског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ослањају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пуно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притиска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циклуса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дугих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мријеста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39B8C5" w14:textId="77777777" w:rsidR="009C6258" w:rsidRPr="009C6258" w:rsidRDefault="009C6258" w:rsidP="009C6258">
      <w:pPr>
        <w:spacing w:after="0" w:line="402" w:lineRule="atLeast"/>
        <w:ind w:right="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показатељима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континуитета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хидрологији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протеклој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отприлике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истакли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циљем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губитка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сузбијања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илегалног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избацивање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истребљења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B724AAA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A72137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B2236E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0614BE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569870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22CB3E" w14:textId="77777777" w:rsidR="009C6258" w:rsidRPr="009C6258" w:rsidRDefault="009C6258" w:rsidP="009C6258">
      <w:pPr>
        <w:spacing w:before="240" w:after="0" w:line="40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22" w:name="_Toc70547364"/>
      <w:r w:rsidRPr="009C6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ИЗВОРИ ИНФОРМАЦИЈА</w:t>
      </w:r>
      <w:bookmarkEnd w:id="22"/>
    </w:p>
    <w:p w14:paraId="6FDBD918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1909,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Банаресцу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1964,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</w:t>
      </w:r>
    </w:p>
    <w:p w14:paraId="60246A2C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Бемис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Кинард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(1997):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увод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биогеографију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аципенсериформес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48: 167-183</w:t>
      </w:r>
    </w:p>
    <w:p w14:paraId="700A0EF2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Ј. 1999.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ИАД: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будућа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11/3,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дробиол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Суппл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., 115/3: 239-259</w:t>
      </w:r>
    </w:p>
    <w:p w14:paraId="4CEC4882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Ј. 2001.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колевка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лимнолошка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димензија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Ацадемиа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Сциентиарум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Артиум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Еуропаеа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Прве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ЕАСА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A680F7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Блоесцх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Јонес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Реинартз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Стриебел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 (2005):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Аципенсеридае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дивљих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животиња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144, 122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</w:p>
    <w:p w14:paraId="51AE401F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Будимпешта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9.-10.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Новембар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 51-79.</w:t>
      </w:r>
    </w:p>
    <w:p w14:paraId="24DECE8A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Кецкеис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Камлер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Бауер-Немесцхкал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&amp;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Сцхнеевеисс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2001.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Опстанак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</w:p>
    <w:p w14:paraId="12A63F7B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енергетска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ларви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јувенила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температурама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Ј.</w:t>
      </w:r>
    </w:p>
    <w:p w14:paraId="0EDDFFC5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Фисх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., 59: 45-61.</w:t>
      </w:r>
    </w:p>
    <w:p w14:paraId="75A9D0E0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Ласзлоффи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1967.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Хидрограпхие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 Р.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Лиеполт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Лимнологие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BF16F1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Сцхвеизербарт'сцхе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Верл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Стуттгарт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 16-57.</w:t>
      </w:r>
    </w:p>
    <w:p w14:paraId="53DFCEE0" w14:textId="77777777" w:rsidR="009C6258" w:rsidRPr="009C6258" w:rsidRDefault="009C6258" w:rsidP="009C6258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Лиеполт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1967.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Лимнологие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Сцхвеизербарт'сцхе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Верл.Стуттгарт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591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105179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Лудвиг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Липполд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Дебус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&amp;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Реинартз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(2009):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хибридизацији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угрожених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стерлета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рутхенус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егзотичних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Аципенсер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баерии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реци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753-760.</w:t>
      </w:r>
    </w:p>
    <w:p w14:paraId="29127097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Пикитцх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ЕК,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Доукакис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Лауцк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Цхакрабарти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Ерицксон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 (2005):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трендови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риболовом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весла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Риба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 233-265.</w:t>
      </w:r>
    </w:p>
    <w:p w14:paraId="43761E55" w14:textId="77777777" w:rsidR="009C6258" w:rsidRPr="009C6258" w:rsidRDefault="009C6258" w:rsidP="009C6258">
      <w:pPr>
        <w:spacing w:after="0" w:line="402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Вассилев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(2006):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Доњи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Дунав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уточиште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преживљавање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јесетра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црноморском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У: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Хуберт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 (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посматрање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одлучивању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Зборник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конференције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Балвоис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Охрид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Македонија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хттп://балвоис.орг.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Приступљено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</w:t>
      </w:r>
    </w:p>
    <w:p w14:paraId="257675AD" w14:textId="77777777" w:rsidR="009C6258" w:rsidRPr="009C6258" w:rsidRDefault="00FB068D" w:rsidP="009C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8D">
        <w:rPr>
          <w:rFonts w:ascii="Times New Roman" w:eastAsia="Times New Roman" w:hAnsi="Times New Roman" w:cs="Times New Roman"/>
          <w:noProof/>
          <w:sz w:val="24"/>
          <w:szCs w:val="24"/>
        </w:rPr>
        <w:pict w14:anchorId="7727FA24">
          <v:rect id="_x0000_i1025" alt="" style="width:388.7pt;height:.85pt;mso-width-percent:0;mso-height-percent:0;mso-width-percent:0;mso-height-percent:0" o:hrpct="0" o:hrstd="t" o:hrnoshade="t" o:hr="t" fillcolor="black" stroked="f"/>
        </w:pict>
      </w:r>
    </w:p>
    <w:bookmarkStart w:id="23" w:name="_ftn1"/>
    <w:bookmarkEnd w:id="23"/>
    <w:p w14:paraId="4C8D3CAC" w14:textId="77777777" w:rsidR="009C6258" w:rsidRPr="009C6258" w:rsidRDefault="009C6258" w:rsidP="009C6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"https://translate.googleusercontent.com/translate_f" \l "_ftnref1" </w:instrText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7"/>
          <w:u w:val="single"/>
        </w:rPr>
        <w:t>[1] </w:t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ИЦПДР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јесетре</w:t>
      </w:r>
      <w:proofErr w:type="spellEnd"/>
    </w:p>
    <w:bookmarkStart w:id="24" w:name="_ftn2"/>
    <w:bookmarkEnd w:id="24"/>
    <w:p w14:paraId="615D6F9E" w14:textId="77777777" w:rsidR="009C6258" w:rsidRPr="009C6258" w:rsidRDefault="009C6258" w:rsidP="009C6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"https://translate.googleusercontent.com/translate_f" \l "_ftnref2" </w:instrText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7"/>
          <w:u w:val="single"/>
        </w:rPr>
        <w:t>[2] </w:t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ИЦПДР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јесетре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C6258">
        <w:rPr>
          <w:rFonts w:ascii="Arial" w:eastAsia="Times New Roman" w:hAnsi="Arial" w:cs="Arial"/>
          <w:color w:val="000000"/>
        </w:rPr>
        <w:t>- </w:t>
      </w:r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5.1 ИЦПДР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активности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очувању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јесетре</w:t>
      </w:r>
      <w:proofErr w:type="spellEnd"/>
    </w:p>
    <w:bookmarkStart w:id="25" w:name="_ftn3"/>
    <w:bookmarkEnd w:id="25"/>
    <w:p w14:paraId="588FF822" w14:textId="77777777" w:rsidR="009C6258" w:rsidRPr="009C6258" w:rsidRDefault="009C6258" w:rsidP="009C6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"https://translate.googleusercontent.com/translate_f" \l "_ftnref3" </w:instrText>
      </w:r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C6258">
        <w:rPr>
          <w:rFonts w:ascii="Times New Roman" w:eastAsia="Times New Roman" w:hAnsi="Times New Roman" w:cs="Times New Roman"/>
          <w:color w:val="0000FF"/>
          <w:sz w:val="27"/>
          <w:u w:val="single"/>
        </w:rPr>
        <w:t>[3] 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Стратегија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спровођење</w:t>
      </w:r>
      <w:proofErr w:type="spellEnd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C6258">
        <w:rPr>
          <w:rFonts w:ascii="Times New Roman" w:eastAsia="Times New Roman" w:hAnsi="Times New Roman" w:cs="Times New Roman"/>
          <w:color w:val="000000"/>
          <w:sz w:val="18"/>
          <w:szCs w:val="18"/>
        </w:rPr>
        <w:t>програм</w:t>
      </w:r>
      <w:proofErr w:type="spellEnd"/>
    </w:p>
    <w:p w14:paraId="262F143C" w14:textId="77777777" w:rsidR="00D92A45" w:rsidRDefault="00D92A45"/>
    <w:sectPr w:rsidR="00D92A45" w:rsidSect="00D92A45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A825D" w14:textId="77777777" w:rsidR="00FB068D" w:rsidRDefault="00FB068D" w:rsidP="00FD71DE">
      <w:pPr>
        <w:spacing w:after="0" w:line="240" w:lineRule="auto"/>
      </w:pPr>
      <w:r>
        <w:separator/>
      </w:r>
    </w:p>
  </w:endnote>
  <w:endnote w:type="continuationSeparator" w:id="0">
    <w:p w14:paraId="53753090" w14:textId="77777777" w:rsidR="00FB068D" w:rsidRDefault="00FB068D" w:rsidP="00FD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05B9B" w14:textId="77777777" w:rsidR="00FB068D" w:rsidRDefault="00FB068D" w:rsidP="00FD71DE">
      <w:pPr>
        <w:spacing w:after="0" w:line="240" w:lineRule="auto"/>
      </w:pPr>
      <w:r>
        <w:separator/>
      </w:r>
    </w:p>
  </w:footnote>
  <w:footnote w:type="continuationSeparator" w:id="0">
    <w:p w14:paraId="478DD4CB" w14:textId="77777777" w:rsidR="00FB068D" w:rsidRDefault="00FB068D" w:rsidP="00FD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B711" w14:textId="77777777" w:rsidR="00FD71DE" w:rsidRPr="00DF6FD3" w:rsidRDefault="00FB068D" w:rsidP="00FD71DE">
    <w:pPr>
      <w:pStyle w:val="Header"/>
      <w:jc w:val="right"/>
      <w:rPr>
        <w:rFonts w:ascii="Times New Roman" w:hAnsi="Times New Roman" w:cs="Times New Roman"/>
        <w:b/>
        <w:noProof/>
        <w:sz w:val="24"/>
      </w:rPr>
    </w:pPr>
    <w:r>
      <w:rPr>
        <w:noProof/>
      </w:rPr>
      <w:pict w14:anchorId="64A01EA6">
        <v:line id="Straight Connector 4" o:spid="_x0000_s2049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9.9pt" to="469.2pt,3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" strokecolor="windowText" strokeweight=".5pt">
          <v:stroke joinstyle="miter"/>
        </v:line>
      </w:pict>
    </w:r>
    <w:r w:rsidR="00FD71DE">
      <w:rPr>
        <w:noProof/>
      </w:rPr>
      <w:drawing>
        <wp:anchor distT="36576" distB="36576" distL="36576" distR="36576" simplePos="0" relativeHeight="251659264" behindDoc="1" locked="0" layoutInCell="1" allowOverlap="1" wp14:anchorId="6AE4CCDA" wp14:editId="6693B410">
          <wp:simplePos x="0" y="0"/>
          <wp:positionH relativeFrom="column">
            <wp:posOffset>-170180</wp:posOffset>
          </wp:positionH>
          <wp:positionV relativeFrom="paragraph">
            <wp:posOffset>-229870</wp:posOffset>
          </wp:positionV>
          <wp:extent cx="2700020" cy="659130"/>
          <wp:effectExtent l="0" t="0" r="0" b="0"/>
          <wp:wrapTight wrapText="bothSides">
            <wp:wrapPolygon edited="0">
              <wp:start x="0" y="0"/>
              <wp:lineTo x="0" y="21225"/>
              <wp:lineTo x="21488" y="21225"/>
              <wp:lineTo x="21488" y="0"/>
              <wp:lineTo x="0" y="0"/>
            </wp:wrapPolygon>
          </wp:wrapTight>
          <wp:docPr id="4" name="Picture 4" descr="Interreg_IPA_CBC_BG+SRB_EN_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Interreg_IPA_CBC_BG+SRB_EN_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1DE">
      <w:rPr>
        <w:rFonts w:ascii="Times New Roman" w:hAnsi="Times New Roman" w:cs="Times New Roman"/>
        <w:b/>
        <w:noProof/>
        <w:sz w:val="24"/>
        <w:lang w:val="bg-BG"/>
      </w:rPr>
      <w:t xml:space="preserve">ПРОЈЕКАТ </w:t>
    </w:r>
    <w:r w:rsidR="00FD71DE" w:rsidRPr="00DF6FD3">
      <w:rPr>
        <w:rFonts w:ascii="Times New Roman" w:hAnsi="Times New Roman" w:cs="Times New Roman"/>
        <w:b/>
        <w:noProof/>
        <w:sz w:val="24"/>
      </w:rPr>
      <w:t xml:space="preserve"> </w:t>
    </w:r>
    <w:r w:rsidR="00FD71DE" w:rsidRPr="00DF6FD3">
      <w:rPr>
        <w:rFonts w:ascii="Times New Roman" w:hAnsi="Times New Roman" w:cs="Times New Roman"/>
        <w:b/>
        <w:noProof/>
        <w:sz w:val="24"/>
        <w:lang w:val="bg-BG"/>
      </w:rPr>
      <w:t xml:space="preserve">№ </w:t>
    </w:r>
    <w:r w:rsidR="00FD71DE" w:rsidRPr="00DF6FD3">
      <w:rPr>
        <w:rFonts w:ascii="Times New Roman" w:hAnsi="Times New Roman" w:cs="Times New Roman"/>
        <w:b/>
        <w:noProof/>
        <w:sz w:val="24"/>
      </w:rPr>
      <w:t xml:space="preserve">CB007.2.32.150 </w:t>
    </w:r>
  </w:p>
  <w:p w14:paraId="4190CBBC" w14:textId="77777777" w:rsidR="00FD71DE" w:rsidRPr="00DF6FD3" w:rsidRDefault="00FD71DE" w:rsidP="00FD71DE">
    <w:pPr>
      <w:pStyle w:val="Header"/>
      <w:jc w:val="right"/>
      <w:rPr>
        <w:rFonts w:ascii="Times New Roman" w:hAnsi="Times New Roman" w:cs="Times New Roman"/>
        <w:b/>
        <w:sz w:val="24"/>
      </w:rPr>
    </w:pPr>
    <w:r w:rsidRPr="009577D4">
      <w:rPr>
        <w:rFonts w:ascii="Times New Roman" w:hAnsi="Times New Roman" w:cs="Times New Roman"/>
        <w:b/>
        <w:noProof/>
        <w:sz w:val="24"/>
      </w:rPr>
      <w:t>„</w:t>
    </w:r>
    <w:r>
      <w:rPr>
        <w:rFonts w:ascii="Times New Roman" w:hAnsi="Times New Roman" w:cs="Times New Roman"/>
        <w:b/>
        <w:noProof/>
        <w:sz w:val="24"/>
        <w:lang w:val="sr-Cyrl-RS"/>
      </w:rPr>
      <w:t>ОДРЖИВИ ЕКО ПРИЈАТЕЉСКИ РЕГИОН</w:t>
    </w:r>
    <w:r w:rsidRPr="009577D4">
      <w:rPr>
        <w:rFonts w:ascii="Times New Roman" w:hAnsi="Times New Roman" w:cs="Times New Roman"/>
        <w:b/>
        <w:noProof/>
        <w:sz w:val="24"/>
      </w:rPr>
      <w:t>“</w:t>
    </w:r>
  </w:p>
  <w:p w14:paraId="2EAA1C08" w14:textId="77777777" w:rsidR="00FD71DE" w:rsidRPr="00FD71DE" w:rsidRDefault="00FD71DE" w:rsidP="00FD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58"/>
    <w:rsid w:val="0095404C"/>
    <w:rsid w:val="009C6258"/>
    <w:rsid w:val="00BD31CD"/>
    <w:rsid w:val="00D92A45"/>
    <w:rsid w:val="00DB01C3"/>
    <w:rsid w:val="00E16BB1"/>
    <w:rsid w:val="00EB343E"/>
    <w:rsid w:val="00EC10A5"/>
    <w:rsid w:val="00FB068D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163B1CE"/>
  <w15:docId w15:val="{653D3CA9-0095-4FD6-9AD4-845E004B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45"/>
  </w:style>
  <w:style w:type="paragraph" w:styleId="Heading1">
    <w:name w:val="heading 1"/>
    <w:basedOn w:val="Normal"/>
    <w:link w:val="Heading1Char"/>
    <w:uiPriority w:val="9"/>
    <w:qFormat/>
    <w:rsid w:val="009C6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6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62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62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25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DE"/>
  </w:style>
  <w:style w:type="paragraph" w:styleId="Footer">
    <w:name w:val="footer"/>
    <w:basedOn w:val="Normal"/>
    <w:link w:val="FooterChar"/>
    <w:uiPriority w:val="99"/>
    <w:unhideWhenUsed/>
    <w:rsid w:val="00FD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f" TargetMode="External"/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hyperlink" Target="https://translate.googleusercontent.com/translate_f" TargetMode="External"/><Relationship Id="rId26" Type="http://schemas.openxmlformats.org/officeDocument/2006/relationships/hyperlink" Target="https://translate.googleusercontent.com/translate_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nslate.googleusercontent.com/translate_f" TargetMode="External"/><Relationship Id="rId7" Type="http://schemas.openxmlformats.org/officeDocument/2006/relationships/hyperlink" Target="https://translate.googleusercontent.com/translate_f" TargetMode="External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usercontent.com/translate_f" TargetMode="External"/><Relationship Id="rId20" Type="http://schemas.openxmlformats.org/officeDocument/2006/relationships/hyperlink" Target="https://translate.googleusercontent.com/translate_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ranslate.googleusercontent.com/translate_f" TargetMode="External"/><Relationship Id="rId24" Type="http://schemas.openxmlformats.org/officeDocument/2006/relationships/hyperlink" Target="https://translate.googleusercontent.com/translate_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hyperlink" Target="https://translate.googleusercontent.com/translate_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ranslate.googleusercontent.com/translate_f" TargetMode="External"/><Relationship Id="rId19" Type="http://schemas.openxmlformats.org/officeDocument/2006/relationships/hyperlink" Target="https://translate.googleusercontent.com/translate_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late.googleusercontent.com/translate_f" TargetMode="Externa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hyperlink" Target="https://translate.googleusercontent.com/translate_f" TargetMode="External"/><Relationship Id="rId27" Type="http://schemas.openxmlformats.org/officeDocument/2006/relationships/hyperlink" Target="https://translate.googleusercontent.com/translate_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9582</Words>
  <Characters>54620</Characters>
  <Application>Microsoft Office Word</Application>
  <DocSecurity>0</DocSecurity>
  <Lines>455</Lines>
  <Paragraphs>128</Paragraphs>
  <ScaleCrop>false</ScaleCrop>
  <Company>Deftones</Company>
  <LinksUpToDate>false</LinksUpToDate>
  <CharactersWithSpaces>64074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Office User</cp:lastModifiedBy>
  <cp:revision>4</cp:revision>
  <dcterms:created xsi:type="dcterms:W3CDTF">2021-07-20T08:36:00Z</dcterms:created>
  <dcterms:modified xsi:type="dcterms:W3CDTF">2021-10-25T09:39:00Z</dcterms:modified>
</cp:coreProperties>
</file>